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Files\\BLM_2012_10_Long Draw DM - § 1 reference coded [ 0.18% Coverage]</w:t>
      </w:r>
    </w:p>
    <w:p>
      <w:pPr>
        <w:pStyle w:val="TextBody"/>
        <w:bidi w:val="0"/>
        <w:spacing w:before="113" w:after="113"/>
        <w:ind w:left="113" w:right="113" w:hanging="0"/>
        <w:jc w:val="left"/>
        <w:rPr>
          <w:highlight w:val="lightGray"/>
        </w:rPr>
      </w:pPr>
      <w:r>
        <w:rPr>
          <w:highlight w:val="lightGray"/>
        </w:rPr>
        <w:t>Reference 1 - 0.18% Coverage</w:t>
      </w:r>
    </w:p>
    <w:p>
      <w:pPr>
        <w:pStyle w:val="TextBody"/>
        <w:bidi w:val="0"/>
        <w:spacing w:before="0" w:after="0"/>
        <w:jc w:val="left"/>
        <w:rPr/>
      </w:pPr>
      <w:r>
        <w:rPr/>
        <w:t>I have determined that the vegetation, soil and other resources on the public lands are at immediate risk of erosion and other damage due to the 2012 Long Draw wildfire.</w:t>
      </w:r>
    </w:p>
    <w:p>
      <w:pPr>
        <w:pStyle w:val="TextBody"/>
        <w:bidi w:val="0"/>
        <w:spacing w:before="113" w:after="113"/>
        <w:ind w:left="113" w:right="113" w:hanging="0"/>
        <w:jc w:val="left"/>
        <w:rPr>
          <w:highlight w:val="lightGray"/>
        </w:rPr>
      </w:pPr>
      <w:r>
        <w:rPr>
          <w:highlight w:val="lightGray"/>
        </w:rPr>
        <w:t>Files\\BLM_2014_10_Buzzard Complex DM - § 1 reference coded [ 0.44% Coverage]</w:t>
      </w:r>
    </w:p>
    <w:p>
      <w:pPr>
        <w:pStyle w:val="TextBody"/>
        <w:bidi w:val="0"/>
        <w:spacing w:before="113" w:after="113"/>
        <w:ind w:left="113" w:right="113" w:hanging="0"/>
        <w:jc w:val="left"/>
        <w:rPr>
          <w:highlight w:val="lightGray"/>
        </w:rPr>
      </w:pPr>
      <w:r>
        <w:rPr>
          <w:highlight w:val="lightGray"/>
        </w:rPr>
        <w:t>Reference 1 - 0.44% Coverage</w:t>
      </w:r>
    </w:p>
    <w:p>
      <w:pPr>
        <w:pStyle w:val="TextBody"/>
        <w:bidi w:val="0"/>
        <w:spacing w:before="0" w:after="0"/>
        <w:jc w:val="left"/>
        <w:rPr/>
      </w:pPr>
      <w:r>
        <w:rPr/>
        <w:t>Approximately 15 miles of temporary fence will be constructed to protect recovering burned areas within the Saddle Draw fire (See Attachment A, Map 9-SD) from livestock grazing and to protect planted seedling patches. Allotments and pastures which will be impacted by temporary fences are: South Star Mountain Allotment-East Chapman and Creston Brush Control pastures and Turnbull Allotment - Slaten pasture. Temporary gates/and or cattleguards will be installed at road crossings to allow for public access.</w:t>
      </w:r>
    </w:p>
    <w:p>
      <w:pPr>
        <w:pStyle w:val="TextBody"/>
        <w:bidi w:val="0"/>
        <w:spacing w:before="113" w:after="113"/>
        <w:ind w:left="113" w:right="113" w:hanging="0"/>
        <w:jc w:val="left"/>
        <w:rPr>
          <w:highlight w:val="lightGray"/>
        </w:rPr>
      </w:pPr>
      <w:r>
        <w:rPr>
          <w:highlight w:val="lightGray"/>
        </w:rPr>
        <w:t>Files\\BLM_2015_09_Leslie Gulch ESR DM - § 1 reference coded [ 1.36% Coverage]</w:t>
      </w:r>
    </w:p>
    <w:p>
      <w:pPr>
        <w:pStyle w:val="TextBody"/>
        <w:bidi w:val="0"/>
        <w:spacing w:before="113" w:after="113"/>
        <w:ind w:left="113" w:right="113" w:hanging="0"/>
        <w:jc w:val="left"/>
        <w:rPr>
          <w:highlight w:val="lightGray"/>
        </w:rPr>
      </w:pPr>
      <w:r>
        <w:rPr>
          <w:highlight w:val="lightGray"/>
        </w:rPr>
        <w:t>Reference 1 - 1.36% Coverage</w:t>
      </w:r>
    </w:p>
    <w:p>
      <w:pPr>
        <w:pStyle w:val="TextBody"/>
        <w:bidi w:val="0"/>
        <w:spacing w:before="0" w:after="0"/>
        <w:jc w:val="left"/>
        <w:rPr/>
      </w:pPr>
      <w:r>
        <w:rPr/>
        <w:t xml:space="preserve">Stabilize and rehabilitate the area burned and reduce off site loss by establishing ground cover of native vegetation in order to compete with invasive annual grasses and noxious weeds, and to reduce the likelihood of new weed establishment; </w:t>
        <w:br/>
        <w:t xml:space="preserve"> Reduce the risk of noxious weed and annual grass infestations through Early Detection/Rapid Response (EDRR); </w:t>
        <w:br/>
        <w:t xml:space="preserve"> Repair or replace damaged facilities needed for management of livestock, including fences; </w:t>
        <w:br/>
        <w:t> Repair a bighorn sheep water source (one damaged wildlife guzzler); and inform the public of limited access in Wilderness Study Areas through signs placement.  Protect burned areas from livestock grazing until objectives are met;</w:t>
      </w:r>
    </w:p>
    <w:p>
      <w:pPr>
        <w:pStyle w:val="TextBody"/>
        <w:bidi w:val="0"/>
        <w:spacing w:before="113" w:after="113"/>
        <w:ind w:left="113" w:right="113" w:hanging="0"/>
        <w:jc w:val="left"/>
        <w:rPr>
          <w:highlight w:val="lightGray"/>
        </w:rPr>
      </w:pPr>
      <w:r>
        <w:rPr>
          <w:highlight w:val="lightGray"/>
        </w:rPr>
        <w:t>Files\\BLM_2016_01_Windy Ridge DM - § 2 references coded [ 1.78% Coverage]</w:t>
      </w:r>
    </w:p>
    <w:p>
      <w:pPr>
        <w:pStyle w:val="TextBody"/>
        <w:bidi w:val="0"/>
        <w:spacing w:before="113" w:after="113"/>
        <w:ind w:left="113" w:right="113" w:hanging="0"/>
        <w:jc w:val="left"/>
        <w:rPr>
          <w:highlight w:val="lightGray"/>
        </w:rPr>
      </w:pPr>
      <w:r>
        <w:rPr>
          <w:highlight w:val="lightGray"/>
        </w:rPr>
        <w:t>Reference 1 - 0.56% Coverage</w:t>
      </w:r>
    </w:p>
    <w:p>
      <w:pPr>
        <w:pStyle w:val="TextBody"/>
        <w:bidi w:val="0"/>
        <w:spacing w:before="0" w:after="0"/>
        <w:jc w:val="left"/>
        <w:rPr/>
      </w:pPr>
      <w:r>
        <w:rPr/>
        <w:t>6) Assessment and Stabilization of Fire Impacted Known Cultural Resources. Install Erosion Control Devices around the cultural site that is vulnerable to damage from flooding.</w:t>
      </w:r>
    </w:p>
    <w:p>
      <w:pPr>
        <w:pStyle w:val="TextBody"/>
        <w:bidi w:val="0"/>
        <w:spacing w:before="113" w:after="113"/>
        <w:ind w:left="113" w:right="113" w:hanging="0"/>
        <w:jc w:val="left"/>
        <w:rPr>
          <w:highlight w:val="lightGray"/>
        </w:rPr>
      </w:pPr>
      <w:r>
        <w:rPr>
          <w:highlight w:val="lightGray"/>
        </w:rPr>
        <w:t>Reference 2 - 1.23% Coverage</w:t>
      </w:r>
    </w:p>
    <w:p>
      <w:pPr>
        <w:pStyle w:val="TextBody"/>
        <w:bidi w:val="0"/>
        <w:spacing w:before="0" w:after="0"/>
        <w:jc w:val="left"/>
        <w:rPr/>
      </w:pPr>
      <w:r>
        <w:rPr/>
        <w:t>The proposed temporary fences will be used in conjunction with existing fences to protect treatment areas from grazing. This fencing and subsequent rest from grazing will allow for plants to recover from the effects from the fire. Vegetation establishment will help reduce the risk that invasive annual grasses pose to critical greater sage-grouse habitat and provide for soil stabilization.</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